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25A" w:rsidRDefault="0029325A" w:rsidP="0029325A">
      <w:pPr>
        <w:pStyle w:val="NormalWeb"/>
      </w:pPr>
      <w:r>
        <w:rPr>
          <w:rStyle w:val="Strong"/>
        </w:rPr>
        <w:t>Merchandise Export Performance during July–February FY 2025–26</w:t>
      </w:r>
    </w:p>
    <w:p w:rsidR="0029325A" w:rsidRDefault="0029325A" w:rsidP="0029325A">
      <w:pPr>
        <w:pStyle w:val="NormalWeb"/>
        <w:jc w:val="both"/>
      </w:pPr>
      <w:r>
        <w:t>Bangladesh’s merchandise exports during July–February FY 2025–26 reached USD 31.91 billion. While this reflects a marginal decline of 3.15% compared to USD 32.92 billion in the same period of the previous fiscal year, the overall performance indicates continued stability amid global and domestic challenges.</w:t>
      </w:r>
      <w:bookmarkStart w:id="0" w:name="_GoBack"/>
      <w:bookmarkEnd w:id="0"/>
    </w:p>
    <w:p w:rsidR="0029325A" w:rsidRDefault="0029325A" w:rsidP="0029325A">
      <w:pPr>
        <w:pStyle w:val="NormalWeb"/>
        <w:jc w:val="both"/>
      </w:pPr>
      <w:r>
        <w:t xml:space="preserve">Ready-made garments (RMG), the backbone of export earnings, recorded USD </w:t>
      </w:r>
      <w:r w:rsidR="005F0E04">
        <w:t>25,796</w:t>
      </w:r>
      <w:r>
        <w:t xml:space="preserve"> million, reflecting a </w:t>
      </w:r>
      <w:r w:rsidR="005F0E04">
        <w:t>3.73</w:t>
      </w:r>
      <w:r>
        <w:t xml:space="preserve">% decrease compared to the same </w:t>
      </w:r>
      <w:r w:rsidR="005F0E04">
        <w:t xml:space="preserve">period </w:t>
      </w:r>
      <w:r>
        <w:t>of the previous year. Within the sector, knitwear continued to demonstrate strong performance, maintaining its lead over woven garments.</w:t>
      </w:r>
    </w:p>
    <w:p w:rsidR="0029325A" w:rsidRDefault="0029325A" w:rsidP="0029325A">
      <w:pPr>
        <w:pStyle w:val="NormalWeb"/>
        <w:jc w:val="both"/>
      </w:pPr>
      <w:r>
        <w:t>Encouragingly, several key sectors—including leather and leather goods, jute and jute goods, home textiles, light engineering, and frozen fish—registered positive growth on a year-on-year basis, reflecting ongoing diversification of Bangladesh’s export basket.</w:t>
      </w:r>
    </w:p>
    <w:p w:rsidR="0029325A" w:rsidRDefault="0029325A" w:rsidP="0029325A">
      <w:pPr>
        <w:pStyle w:val="NormalWeb"/>
        <w:jc w:val="both"/>
      </w:pPr>
      <w:r>
        <w:t>In terms of destinations, the United States remained the largest export market, with exports totaling USD 5,874.13 million and registering a modest growth of 0.74%. Notably, China recorded the highest growth among major destinations, with a year-on-year increase of 19.12%.</w:t>
      </w:r>
    </w:p>
    <w:p w:rsidR="0029325A" w:rsidRDefault="0029325A" w:rsidP="0029325A">
      <w:pPr>
        <w:pStyle w:val="NormalWeb"/>
        <w:jc w:val="both"/>
      </w:pPr>
      <w:r>
        <w:t xml:space="preserve">The slight decline in overall exports can be attributed to temporary factors such as port disruptions, the national election, and subdued global demand in key markets. </w:t>
      </w:r>
    </w:p>
    <w:p w:rsidR="009F25C7" w:rsidRPr="0029325A" w:rsidRDefault="009F25C7" w:rsidP="0029325A"/>
    <w:sectPr w:rsidR="009F25C7" w:rsidRPr="0029325A" w:rsidSect="002F28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0793"/>
    <w:rsid w:val="0029325A"/>
    <w:rsid w:val="002F284F"/>
    <w:rsid w:val="004F652F"/>
    <w:rsid w:val="00535AFE"/>
    <w:rsid w:val="00541F67"/>
    <w:rsid w:val="005F0E04"/>
    <w:rsid w:val="009F25C7"/>
    <w:rsid w:val="00A81494"/>
    <w:rsid w:val="00CB0793"/>
    <w:rsid w:val="00CD3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81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325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Arveen Alamgir</dc:creator>
  <cp:lastModifiedBy>epb</cp:lastModifiedBy>
  <cp:revision>2</cp:revision>
  <cp:lastPrinted>2026-03-02T08:16:00Z</cp:lastPrinted>
  <dcterms:created xsi:type="dcterms:W3CDTF">2026-03-04T06:36:00Z</dcterms:created>
  <dcterms:modified xsi:type="dcterms:W3CDTF">2026-03-04T06:36:00Z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ee0bc95f-7d8f-4ce5-85d5-4c3fff45a946</vt:lpwstr>
  </property>
</Properties>
</file>